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309" w:rsidRPr="008D5309" w:rsidRDefault="008D5309" w:rsidP="008D5309">
      <w:pPr>
        <w:shd w:val="clear" w:color="auto" w:fill="FFFFFF"/>
        <w:spacing w:before="225" w:after="225" w:line="240" w:lineRule="auto"/>
        <w:jc w:val="center"/>
        <w:rPr>
          <w:rFonts w:ascii="Times New Roman" w:eastAsia="Times New Roman" w:hAnsi="Times New Roman" w:cs="Times New Roman"/>
          <w:color w:val="000000"/>
          <w:sz w:val="21"/>
          <w:szCs w:val="21"/>
          <w:lang w:eastAsia="ru-RU"/>
        </w:rPr>
      </w:pPr>
      <w:r w:rsidRPr="008D5309">
        <w:rPr>
          <w:rFonts w:ascii="Times New Roman" w:eastAsia="Times New Roman" w:hAnsi="Times New Roman" w:cs="Times New Roman"/>
          <w:b/>
          <w:bCs/>
          <w:color w:val="000000"/>
          <w:sz w:val="21"/>
          <w:szCs w:val="21"/>
          <w:lang w:eastAsia="ru-RU"/>
        </w:rPr>
        <w:t>Основные этапы обработки заявки</w:t>
      </w:r>
    </w:p>
    <w:tbl>
      <w:tblPr>
        <w:tblW w:w="958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86"/>
        <w:gridCol w:w="3364"/>
        <w:gridCol w:w="459"/>
        <w:gridCol w:w="3017"/>
        <w:gridCol w:w="459"/>
      </w:tblGrid>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jc w:val="center"/>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b/>
                <w:bCs/>
                <w:color w:val="333333"/>
                <w:sz w:val="21"/>
                <w:szCs w:val="21"/>
                <w:lang w:eastAsia="ru-RU"/>
              </w:rPr>
              <w:t>Этап</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jc w:val="center"/>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b/>
                <w:bCs/>
                <w:color w:val="333333"/>
                <w:sz w:val="21"/>
                <w:szCs w:val="21"/>
                <w:lang w:eastAsia="ru-RU"/>
              </w:rPr>
              <w:t>Процедура</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jc w:val="center"/>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b/>
                <w:bCs/>
                <w:color w:val="333333"/>
                <w:sz w:val="21"/>
                <w:szCs w:val="21"/>
                <w:lang w:eastAsia="ru-RU"/>
              </w:rPr>
              <w:t>Срок</w:t>
            </w:r>
          </w:p>
        </w:tc>
      </w:tr>
      <w:tr w:rsidR="008D5309" w:rsidRPr="008D5309" w:rsidTr="008D5309">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Первичная обработка обращения (заявки)</w:t>
            </w:r>
          </w:p>
        </w:tc>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Прием обращения с заявкой на технологическое присоединение</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очном обращении не более 30 минут</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поступлении заявки почтой пер</w:t>
            </w:r>
            <w:bookmarkStart w:id="0" w:name="_GoBack"/>
            <w:bookmarkEnd w:id="0"/>
            <w:r w:rsidRPr="008D5309">
              <w:rPr>
                <w:rFonts w:ascii="Times New Roman" w:eastAsia="Times New Roman" w:hAnsi="Times New Roman" w:cs="Times New Roman"/>
                <w:color w:val="333333"/>
                <w:sz w:val="21"/>
                <w:szCs w:val="21"/>
                <w:lang w:eastAsia="ru-RU"/>
              </w:rPr>
              <w:t>едача заявки и пакета документов в профильное подразделение – не более 1 рабочего дня</w:t>
            </w:r>
          </w:p>
        </w:tc>
      </w:tr>
      <w:tr w:rsidR="008D5309" w:rsidRPr="008D5309" w:rsidTr="008D5309">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Основная обработка заявки</w:t>
            </w:r>
          </w:p>
        </w:tc>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Проверка соблюдения требований к форме, полноте сведений в заявке и наличия документов, приложенных к заявке в соответствии с нормативными правовыми актами и организационно-распорядительными документами.</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Регистрация заявки и пакета документов в АМ по направлению</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 рабочий день с даты получения заявки и пакета документов при очном обращении</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2 рабочих дня с даты регистрации входящего письма с заявкой и пакетом документов при получении заявки почтой</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Подготовка и направление уведомления заявителю о недостающих сведениях и/или документах к заявке</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6 рабочих дней после получения заявки</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Направление заявки и пакета документов, представленных заявителем, в профильное подразделение</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2 рабочих дня с даты получения заявки (в случае полного пакета документов) или после получения недостающих сведений и/или документов к заявке</w:t>
            </w:r>
          </w:p>
        </w:tc>
      </w:tr>
      <w:tr w:rsidR="008D5309" w:rsidRPr="008D5309" w:rsidTr="008D5309">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Заключение договора об осуществлении технологического присоединения к электрическим сетям</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Подготовка и направление уведомления об увеличении срока подготовки договора на срок согласования технических условий с системным оператором при сложном характере технологического присоединения</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не</w:t>
            </w:r>
            <w:proofErr w:type="gramEnd"/>
            <w:r w:rsidRPr="008D5309">
              <w:rPr>
                <w:rFonts w:ascii="Times New Roman" w:eastAsia="Times New Roman" w:hAnsi="Times New Roman" w:cs="Times New Roman"/>
                <w:color w:val="333333"/>
                <w:sz w:val="21"/>
                <w:szCs w:val="21"/>
                <w:lang w:eastAsia="ru-RU"/>
              </w:rPr>
              <w:t xml:space="preserve"> позднее 2 рабочих дней после направления технических условий на согласование системному оператору</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Подготовка и направление уведомления заявителю о направлении заявления об установлении платы с приложенными к нему материалами в уполномоченный орган исполнительной власти в области государственного регулирования тарифов</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3 рабочих дня со дня направления заявления об установлении платы в уполномоченный орган исполнительной власти в области государственного регулирования тарифов</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Подготовка и направление проекта договора об осуществлении технологического присоединения и технических условий заявителю.</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(При технологическом присоединении по индивидуальному проекту заявителю так же направляется решение уполномоченного органа исполнительной власти в области государственного регулирования тарифов об утверждении платы за технологическое присоединение по индивидуальному проекту)</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15 дней со дня получения заявки от заявителя (уполномоченного представителя) в случае полного пакета документов или со дня получения недостающих сведений и/или документов к заявке для физических лиц в целях технологического присоединения ЭПУ, максимальная мощность которых составляет до 15 кВт включительно (с учетом ранее присоединенных) для бытовых и иных нужд по одному источнику электроснабжения, для юридических лиц или индивидуальных предпринимателей ЭПУ, максимальная мощность которых составляет до 150 кВт включительно (с учетом ранее присоединенных) по второй или третьей категории надежности</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течение 10 дней со дня получения заявки в случае временного технологического присоединения</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30 дней со дня получения заявки (в случае полного пакета документов) или со дня получения недостающих сведений и/или документов к заявке</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3 рабочих дня со дня согласования с системным оператором технических условий при сложном характере технологического присоединения</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5 рабочих дней с даты получения от заявителя мотивированного отказа от подписания проекта договора с требованием о приведении его в соответствие с Правилами технологического присоединения</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Подписание договора со стороны заявителя и направление одного экземпляра в сетевую организацию</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30 дней с даты получения подписанного организацией проекта договора</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Направление заявителем мотивированного отказа от подписания проекта договора с требованием о приведении его в соответствие с Правилами технологического присоединения</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30 дней с даты получения подписанного организацией проекта договора</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Аннулирование заявки на технологическое присоединение в случае, если заявителем не направлен подписанный проект договора или мотивированный отказ</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60 дней со дня получения заявителем подписанного сетевой организацией проекта договора</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Направление копии заявки на технологическое присоединение на рассмотрение системному оператору в случае технологического присоединения энергопринимающих устройств, за исключением заявок, поданных физическими лицами в целях технологического присоединения ЭПУ с максимальной мощностью до 15 кВт включительно (с учетом ранее присоединенных) для бытовых и иных нужд, юридическими лицами или индивидуальными предпринимателями ЭПУ с максимальной мощностью до 150 кВт включительно (с учетом ранее присоединенных), и технологического присоединения посредством перераспределения.</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5 рабочих дней с даты получения заявки</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Согласование с системным оператором технических условий на технологическое присоединение к электрическим сетям в случае технологического присоединения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w:t>
            </w:r>
            <w:r w:rsidRPr="008D5309">
              <w:rPr>
                <w:rFonts w:ascii="Times New Roman" w:eastAsia="Times New Roman" w:hAnsi="Times New Roman" w:cs="Times New Roman"/>
                <w:color w:val="333333"/>
                <w:sz w:val="21"/>
                <w:szCs w:val="21"/>
                <w:lang w:eastAsia="ru-RU"/>
              </w:rPr>
              <w:lastRenderedPageBreak/>
              <w:t>МВт и выше, и энергопринимающих устройств, максимальная мощность которых превышает 5 МВт или увеличивается на 5 МВт и выше</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15 дней с даты получения проекта технических условий от сетевой организации</w:t>
            </w:r>
          </w:p>
        </w:tc>
      </w:tr>
      <w:tr w:rsidR="008D5309" w:rsidRPr="008D5309" w:rsidTr="008D5309">
        <w:tc>
          <w:tcPr>
            <w:tcW w:w="0" w:type="auto"/>
            <w:gridSpan w:val="2"/>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Осуществление мероприятий по технологическому присоединению со стороны сетевой организации:</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5"/>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 В случаях, если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[1]:</w:t>
            </w:r>
          </w:p>
        </w:tc>
      </w:tr>
      <w:tr w:rsidR="008D5309" w:rsidRPr="008D5309" w:rsidTr="008D5309">
        <w:tc>
          <w:tcPr>
            <w:tcW w:w="0" w:type="auto"/>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временном присоединении энергопринимающих устройств</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15 рабочих дней (если в заявке не указан более продолжительный срок) с даты заключения договора</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для</w:t>
            </w:r>
            <w:proofErr w:type="gramEnd"/>
            <w:r w:rsidRPr="008D5309">
              <w:rPr>
                <w:rFonts w:ascii="Times New Roman" w:eastAsia="Times New Roman" w:hAnsi="Times New Roman" w:cs="Times New Roman"/>
                <w:color w:val="333333"/>
                <w:sz w:val="21"/>
                <w:szCs w:val="21"/>
                <w:lang w:eastAsia="ru-RU"/>
              </w:rPr>
              <w:t xml:space="preserve"> заявителей с максимальной мощностью энергопринимающих устройств до 670 кВт включительно (с учетом ранее присоединенной в данной точке присоединения мощности)</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4 месяца с даты заключения договора</w:t>
            </w:r>
          </w:p>
        </w:tc>
      </w:tr>
      <w:tr w:rsidR="008D5309" w:rsidRPr="008D5309" w:rsidTr="008D5309">
        <w:tc>
          <w:tcPr>
            <w:tcW w:w="0" w:type="auto"/>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для</w:t>
            </w:r>
            <w:proofErr w:type="gramEnd"/>
            <w:r w:rsidRPr="008D5309">
              <w:rPr>
                <w:rFonts w:ascii="Times New Roman" w:eastAsia="Times New Roman" w:hAnsi="Times New Roman" w:cs="Times New Roman"/>
                <w:color w:val="333333"/>
                <w:sz w:val="21"/>
                <w:szCs w:val="21"/>
                <w:lang w:eastAsia="ru-RU"/>
              </w:rPr>
              <w:t xml:space="preserve"> заявителей с максимальной мощностью энергопринимающих устройств свыше 670 кВт</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 год с даты заключения договора</w:t>
            </w:r>
          </w:p>
        </w:tc>
      </w:tr>
      <w:tr w:rsidR="008D5309" w:rsidRPr="008D5309" w:rsidTr="008D5309">
        <w:tc>
          <w:tcPr>
            <w:tcW w:w="0" w:type="auto"/>
            <w:gridSpan w:val="5"/>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2. В случаях, если от сетевой организации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tc>
      </w:tr>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(с учетом ранее присоединенной в данной точке присоединения мощности), если расстояние от </w:t>
            </w:r>
            <w:proofErr w:type="spellStart"/>
            <w:r w:rsidRPr="008D5309">
              <w:rPr>
                <w:rFonts w:ascii="Times New Roman" w:eastAsia="Times New Roman" w:hAnsi="Times New Roman" w:cs="Times New Roman"/>
                <w:color w:val="333333"/>
                <w:sz w:val="21"/>
                <w:szCs w:val="21"/>
                <w:lang w:eastAsia="ru-RU"/>
              </w:rPr>
              <w:t>энергопринимающего</w:t>
            </w:r>
            <w:proofErr w:type="spellEnd"/>
            <w:r w:rsidRPr="008D5309">
              <w:rPr>
                <w:rFonts w:ascii="Times New Roman" w:eastAsia="Times New Roman" w:hAnsi="Times New Roman" w:cs="Times New Roman"/>
                <w:color w:val="333333"/>
                <w:sz w:val="21"/>
                <w:szCs w:val="21"/>
                <w:lang w:eastAsia="ru-RU"/>
              </w:rPr>
              <w:t xml:space="preserve"> устройства заявителя до существующих электрических сетей необходимого класса </w:t>
            </w:r>
            <w:r w:rsidRPr="008D5309">
              <w:rPr>
                <w:rFonts w:ascii="Times New Roman" w:eastAsia="Times New Roman" w:hAnsi="Times New Roman" w:cs="Times New Roman"/>
                <w:color w:val="333333"/>
                <w:sz w:val="21"/>
                <w:szCs w:val="21"/>
                <w:lang w:eastAsia="ru-RU"/>
              </w:rPr>
              <w:lastRenderedPageBreak/>
              <w:t>напряжения составляет не более 300 метров</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15 рабочих дней (если в заявке не указан более продолжительный срок) с даты заключения договора</w:t>
            </w:r>
          </w:p>
        </w:tc>
      </w:tr>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Для физических лиц ЭПУ с максимальной мощностью до 15 кВт включительно (с учетом ранее присоединенных) для бытовых и иных нужд, юридических лиц или индивидуальных предпринимателей ЭПУ с максимальной мощностью до 150 кВт включительно (с учетом ранее присоединенных), в </w:t>
            </w:r>
            <w:proofErr w:type="spellStart"/>
            <w:r w:rsidRPr="008D5309">
              <w:rPr>
                <w:rFonts w:ascii="Times New Roman" w:eastAsia="Times New Roman" w:hAnsi="Times New Roman" w:cs="Times New Roman"/>
                <w:color w:val="333333"/>
                <w:sz w:val="21"/>
                <w:szCs w:val="21"/>
                <w:lang w:eastAsia="ru-RU"/>
              </w:rPr>
              <w:t>т.ч</w:t>
            </w:r>
            <w:proofErr w:type="spellEnd"/>
            <w:r w:rsidRPr="008D5309">
              <w:rPr>
                <w:rFonts w:ascii="Times New Roman" w:eastAsia="Times New Roman" w:hAnsi="Times New Roman" w:cs="Times New Roman"/>
                <w:color w:val="333333"/>
                <w:sz w:val="21"/>
                <w:szCs w:val="21"/>
                <w:lang w:eastAsia="ru-RU"/>
              </w:rPr>
              <w:t>. технологического присоединения посредством перераспределения.</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6 </w:t>
            </w:r>
            <w:proofErr w:type="gramStart"/>
            <w:r w:rsidRPr="008D5309">
              <w:rPr>
                <w:rFonts w:ascii="Times New Roman" w:eastAsia="Times New Roman" w:hAnsi="Times New Roman" w:cs="Times New Roman"/>
                <w:color w:val="333333"/>
                <w:sz w:val="21"/>
                <w:szCs w:val="21"/>
                <w:lang w:eastAsia="ru-RU"/>
              </w:rPr>
              <w:t>месяцев )</w:t>
            </w:r>
            <w:proofErr w:type="gramEnd"/>
            <w:r w:rsidRPr="008D5309">
              <w:rPr>
                <w:rFonts w:ascii="Times New Roman" w:eastAsia="Times New Roman" w:hAnsi="Times New Roman" w:cs="Times New Roman"/>
                <w:color w:val="333333"/>
                <w:sz w:val="21"/>
                <w:szCs w:val="21"/>
                <w:lang w:eastAsia="ru-RU"/>
              </w:rPr>
              <w:t xml:space="preserve"> с даты заключения договора</w:t>
            </w:r>
          </w:p>
        </w:tc>
      </w:tr>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для</w:t>
            </w:r>
            <w:proofErr w:type="gramEnd"/>
            <w:r w:rsidRPr="008D5309">
              <w:rPr>
                <w:rFonts w:ascii="Times New Roman" w:eastAsia="Times New Roman" w:hAnsi="Times New Roman" w:cs="Times New Roman"/>
                <w:color w:val="333333"/>
                <w:sz w:val="21"/>
                <w:szCs w:val="21"/>
                <w:lang w:eastAsia="ru-RU"/>
              </w:rPr>
              <w:t xml:space="preserve"> заявителей, суммарная максимальная мощность энергопринимающих устройств которых не превышает 670 кВт</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1 год, если более короткие сроки не предусмотрены инвестиционной программой соответствующей сетевой организации или соглашением сторон</w:t>
            </w:r>
          </w:p>
        </w:tc>
      </w:tr>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для</w:t>
            </w:r>
            <w:proofErr w:type="gramEnd"/>
            <w:r w:rsidRPr="008D5309">
              <w:rPr>
                <w:rFonts w:ascii="Times New Roman" w:eastAsia="Times New Roman" w:hAnsi="Times New Roman" w:cs="Times New Roman"/>
                <w:color w:val="333333"/>
                <w:sz w:val="21"/>
                <w:szCs w:val="21"/>
                <w:lang w:eastAsia="ru-RU"/>
              </w:rPr>
              <w:t xml:space="preserve"> заявителей, суммарная максимальная мощность энергопринимающих устройств которых превышает 670 кВт</w:t>
            </w:r>
          </w:p>
        </w:tc>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2 года, если иные сроки (но не более 4 лет) не предусмотрены соответствующей инвестиционной программой или соглашением сторон</w:t>
            </w:r>
          </w:p>
        </w:tc>
      </w:tr>
      <w:tr w:rsidR="008D5309" w:rsidRPr="008D5309" w:rsidTr="008D5309">
        <w:tc>
          <w:tcPr>
            <w:tcW w:w="0" w:type="auto"/>
            <w:gridSpan w:val="4"/>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Сроки исполнения сетевой организацией фактического присоединения объектов заявителя в случаях, когда не требуется согласование технических условий с субъектом оперативно-диспетчерского контроля: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vMerge w:val="restart"/>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Прием от заявителя уведомления о выполнении технических условий с необходимым пакетом документов</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очном обращении не более 30 минут</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vMerge/>
            <w:tcBorders>
              <w:top w:val="single" w:sz="6" w:space="0" w:color="BABABA"/>
              <w:left w:val="single" w:sz="6" w:space="0" w:color="BABABA"/>
              <w:bottom w:val="single" w:sz="6" w:space="0" w:color="BABABA"/>
              <w:right w:val="single" w:sz="6" w:space="0" w:color="BABABA"/>
            </w:tcBorders>
            <w:shd w:val="clear" w:color="auto" w:fill="FFFFFF"/>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при</w:t>
            </w:r>
            <w:proofErr w:type="gramEnd"/>
            <w:r w:rsidRPr="008D5309">
              <w:rPr>
                <w:rFonts w:ascii="Times New Roman" w:eastAsia="Times New Roman" w:hAnsi="Times New Roman" w:cs="Times New Roman"/>
                <w:color w:val="333333"/>
                <w:sz w:val="21"/>
                <w:szCs w:val="21"/>
                <w:lang w:eastAsia="ru-RU"/>
              </w:rPr>
              <w:t xml:space="preserve"> поступлении уведомления почтой передача уведомления и пакета документов в профильное подразделение – не более 1 рабочего дня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Осмотр (обследование) ЭПУ до распределительного устройства (пункта) заявителя (распределительного устройства трансформаторной подстанции, вводного устройства, вводного распределительного устройства, главного распределительного щита, узла учета) включительно</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течение 3 рабочих дней после уведомления заявителем о выполнении своих обязательств договора об осуществлении технологического присоединения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 результатам мероприятий по проверке выполнения заявителем технических условий сетевая организация составляет и направляет для подписания заявителю подписанный со своей стороны в 2 экземплярах Акт о выполнении технических условий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3-дневный срок после проведения осмотра.</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Общий срок проведения мероприятий по проверке не должен превышать 10 дней со дня получения </w:t>
            </w:r>
            <w:r w:rsidRPr="008D5309">
              <w:rPr>
                <w:rFonts w:ascii="Times New Roman" w:eastAsia="Times New Roman" w:hAnsi="Times New Roman" w:cs="Times New Roman"/>
                <w:color w:val="333333"/>
                <w:sz w:val="21"/>
                <w:szCs w:val="21"/>
                <w:lang w:eastAsia="ru-RU"/>
              </w:rPr>
              <w:lastRenderedPageBreak/>
              <w:t>уведомления от заявителя о выполнении им технических условий либо уведомления об устранении замечаний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Заявитель возвращает в сетевую организацию один экземпляр подписанного со своей стороны Акта о выполнении технических условий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течение 5 дней со дня получения подписанного сетевой организацией акта о выполнении технических условий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В случае присоединения ЭПУ к сетям классом напряжения до 20 </w:t>
            </w:r>
            <w:proofErr w:type="spellStart"/>
            <w:r w:rsidRPr="008D5309">
              <w:rPr>
                <w:rFonts w:ascii="Times New Roman" w:eastAsia="Times New Roman" w:hAnsi="Times New Roman" w:cs="Times New Roman"/>
                <w:color w:val="333333"/>
                <w:sz w:val="21"/>
                <w:szCs w:val="21"/>
                <w:lang w:eastAsia="ru-RU"/>
              </w:rPr>
              <w:t>кВ</w:t>
            </w:r>
            <w:proofErr w:type="spellEnd"/>
            <w:r w:rsidRPr="008D5309">
              <w:rPr>
                <w:rFonts w:ascii="Times New Roman" w:eastAsia="Times New Roman" w:hAnsi="Times New Roman" w:cs="Times New Roman"/>
                <w:color w:val="333333"/>
                <w:sz w:val="21"/>
                <w:szCs w:val="21"/>
                <w:lang w:eastAsia="ru-RU"/>
              </w:rPr>
              <w:t xml:space="preserve"> по одному источнику, а так же в отношении физических лиц ЭПУ с максимальной мощностью до 15 кВт включительно (с учетом ранее присоединенных) для бытовых и иных нужд, юридических лиц или индивидуальных предпринимателей ЭПУ с максимальной мощностью до 150 кВт включительно (с учетом ранее присоединенных), и временного технологического присоединения Акт о выполнении технических условий составляется и подписывается заявителем и сетевой организацией непосредственно в день проведения осмотра.</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В день проведения осмотра</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При невыполнении требований технических условий сетевая организация в письменной форме уведомляет об этом заявителя. При осмотре электроустановок замечания указываются в акте осмотра (обследования) электроустановки</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Повторный осмотр электроустановки заявителя. Акт о выполнении технических условий оформляется после устранения выявленных нарушений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не</w:t>
            </w:r>
            <w:proofErr w:type="gramEnd"/>
            <w:r w:rsidRPr="008D5309">
              <w:rPr>
                <w:rFonts w:ascii="Times New Roman" w:eastAsia="Times New Roman" w:hAnsi="Times New Roman" w:cs="Times New Roman"/>
                <w:color w:val="333333"/>
                <w:sz w:val="21"/>
                <w:szCs w:val="21"/>
                <w:lang w:eastAsia="ru-RU"/>
              </w:rPr>
              <w:t xml:space="preserve"> позднее 3 рабочих дней после получения от заявителя уведомления об устранении замечаний с приложением информации о принятых мерах по их устранению</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4"/>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Проверка выполнения технических условий в случаях, когда требуется согласование технических условий с субъектом оперативно-диспетчерского управления, осуществляется сетевой организацией и системным оператором</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Уведомление о готовности к проверке выполнения технических условий направляется заявителем в адрес сетевой организации, а сетевой организацией в отношении своих объектов - в адрес субъекта оперативно-диспетчерского управления.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течение 2 дней со дня получения от заявителя уведомления о готовности к проверке выполнения технических условий направляет субъекту оперативно-диспетчерского управления копию такого уведомления и копии приложенных к нему документов, представленных заявителем</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 xml:space="preserve">Проверка соответствия технических решений, параметров оборудования (устройств) и проведенных мероприятий, </w:t>
            </w:r>
            <w:r w:rsidRPr="008D5309">
              <w:rPr>
                <w:rFonts w:ascii="Times New Roman" w:eastAsia="Times New Roman" w:hAnsi="Times New Roman" w:cs="Times New Roman"/>
                <w:color w:val="333333"/>
                <w:sz w:val="21"/>
                <w:szCs w:val="21"/>
                <w:lang w:eastAsia="ru-RU"/>
              </w:rPr>
              <w:lastRenderedPageBreak/>
              <w:t>указанных в документах, представленных заявителем, требованиям технических условий совместно с системным оператором</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Сетевая организация в письменной форме уведомляет субъект оперативно-диспетчерского управления о предполагаемой дате проведения осмотра</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не</w:t>
            </w:r>
            <w:proofErr w:type="gramEnd"/>
            <w:r w:rsidRPr="008D5309">
              <w:rPr>
                <w:rFonts w:ascii="Times New Roman" w:eastAsia="Times New Roman" w:hAnsi="Times New Roman" w:cs="Times New Roman"/>
                <w:color w:val="333333"/>
                <w:sz w:val="21"/>
                <w:szCs w:val="21"/>
                <w:lang w:eastAsia="ru-RU"/>
              </w:rPr>
              <w:t xml:space="preserve"> позднее, чем за 5 рабочих дней до дня его проведения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Субъект оперативно-диспетчерского управления направляет сетевой организации решение об участии (отказе от участия) в таком осмотре</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не</w:t>
            </w:r>
            <w:proofErr w:type="gramEnd"/>
            <w:r w:rsidRPr="008D5309">
              <w:rPr>
                <w:rFonts w:ascii="Times New Roman" w:eastAsia="Times New Roman" w:hAnsi="Times New Roman" w:cs="Times New Roman"/>
                <w:color w:val="333333"/>
                <w:sz w:val="21"/>
                <w:szCs w:val="21"/>
                <w:lang w:eastAsia="ru-RU"/>
              </w:rPr>
              <w:t xml:space="preserve"> позднее, чем за 2 рабочих дня до его проведения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Осмотр сетевой организацией, а также субъектом оперативно-диспетчерского управления присоединяемых электроустановок и объектов электросетевого хозяйства, построенных (реконструированных) в рамках выполнения технических условий,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В день проведения осмотра</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Составление Акта осмотра (обследования) электроустановки. При выявлении в ходе осмотра невыполнения заявителем и (или) сетевой организацией требований технических условий и проектной документации в акте осмотра (обследования) электроустановки указывается перечень выявленных замечаний, подлежащих выполнению.</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Согласование с субъектом оперативно-диспетчерского управления Акта осмотра (обследования) электроустановки, в случае если представители субъекта оперативно-диспетчерского управления участвовали в осмотре</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При невыполнении требований технических условий субъект оперативно-диспетчерского управления уведомляет об этом сетевую организацию с указанием замечаний.</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Сетевая организация, в письменной форме уведомляет заявителя о выявленных замечаниях</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Повторный осмотр.</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не</w:t>
            </w:r>
            <w:proofErr w:type="gramEnd"/>
            <w:r w:rsidRPr="008D5309">
              <w:rPr>
                <w:rFonts w:ascii="Times New Roman" w:eastAsia="Times New Roman" w:hAnsi="Times New Roman" w:cs="Times New Roman"/>
                <w:color w:val="333333"/>
                <w:sz w:val="21"/>
                <w:szCs w:val="21"/>
                <w:lang w:eastAsia="ru-RU"/>
              </w:rPr>
              <w:t xml:space="preserve"> позднее, чем через 3 рабочих дня после получения уведомления об устранении замечаний с приложением информации и документов</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Сетевая организация направляет заявителю подписанный со своей стороны Акт о выполнении технических условий в 2 экземплярах.</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В случае, если технические условия были согласованы с субъектом оперативно-диспетчерского контроля, Акт о выполнении технических условий, согласованный с субъектом оперативно-диспетчерского контроля, направляется заявителю в 3 экземплярах.</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3-дневный срок, общий срок проверки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lastRenderedPageBreak/>
              <w:t>Заявитель возвращает в сетевую организацию подписанные со своей стороны экземпляры акта о выполнении технических условий, при этом один экземпляр акта о выполнении технических условий остается у заявителя.</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roofErr w:type="gramStart"/>
            <w:r w:rsidRPr="008D5309">
              <w:rPr>
                <w:rFonts w:ascii="Times New Roman" w:eastAsia="Times New Roman" w:hAnsi="Times New Roman" w:cs="Times New Roman"/>
                <w:color w:val="333333"/>
                <w:sz w:val="21"/>
                <w:szCs w:val="21"/>
                <w:lang w:eastAsia="ru-RU"/>
              </w:rPr>
              <w:t>в</w:t>
            </w:r>
            <w:proofErr w:type="gramEnd"/>
            <w:r w:rsidRPr="008D5309">
              <w:rPr>
                <w:rFonts w:ascii="Times New Roman" w:eastAsia="Times New Roman" w:hAnsi="Times New Roman" w:cs="Times New Roman"/>
                <w:color w:val="333333"/>
                <w:sz w:val="21"/>
                <w:szCs w:val="21"/>
                <w:lang w:eastAsia="ru-RU"/>
              </w:rPr>
              <w:t xml:space="preserve"> течение 5 дней со дня получения акта о выполнении технических условий в 3 экземплярах</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gridSpan w:val="3"/>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Выдача акта об осуществлении технологического присоединения;</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Акта разграничения границ балансовой принадлежности сторон;</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Акта разграничения эксплуатационной ответственности сторон;</w:t>
            </w:r>
          </w:p>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Акта согласования технологической и (или) аварийной брони а соответствии с п.14(2)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 ПП РФ от 27.12.2004 № 861</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r w:rsidRPr="008D5309">
              <w:rPr>
                <w:rFonts w:ascii="Times New Roman" w:eastAsia="Times New Roman" w:hAnsi="Times New Roman" w:cs="Times New Roman"/>
                <w:color w:val="333333"/>
                <w:sz w:val="21"/>
                <w:szCs w:val="21"/>
                <w:lang w:eastAsia="ru-RU"/>
              </w:rPr>
              <w:t>По окончании осуществления мероприятий по технологическому присоединению</w:t>
            </w: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r w:rsidR="008D5309" w:rsidRPr="008D5309" w:rsidTr="008D5309">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c>
          <w:tcPr>
            <w:tcW w:w="0" w:type="auto"/>
            <w:tcBorders>
              <w:top w:val="single" w:sz="6" w:space="0" w:color="BABABA"/>
              <w:left w:val="single" w:sz="6" w:space="0" w:color="BABABA"/>
              <w:bottom w:val="single" w:sz="6" w:space="0" w:color="BABABA"/>
              <w:right w:val="single" w:sz="6" w:space="0" w:color="BABABA"/>
            </w:tcBorders>
            <w:shd w:val="clear" w:color="auto" w:fill="FFFFFF"/>
            <w:tcMar>
              <w:top w:w="150" w:type="dxa"/>
              <w:left w:w="225" w:type="dxa"/>
              <w:bottom w:w="150" w:type="dxa"/>
              <w:right w:w="225" w:type="dxa"/>
            </w:tcMar>
            <w:vAlign w:val="center"/>
            <w:hideMark/>
          </w:tcPr>
          <w:p w:rsidR="008D5309" w:rsidRPr="008D5309" w:rsidRDefault="008D5309" w:rsidP="008D5309">
            <w:pPr>
              <w:spacing w:after="0" w:line="240" w:lineRule="auto"/>
              <w:rPr>
                <w:rFonts w:ascii="Times New Roman" w:eastAsia="Times New Roman" w:hAnsi="Times New Roman" w:cs="Times New Roman"/>
                <w:color w:val="333333"/>
                <w:sz w:val="21"/>
                <w:szCs w:val="21"/>
                <w:lang w:eastAsia="ru-RU"/>
              </w:rPr>
            </w:pPr>
          </w:p>
        </w:tc>
      </w:tr>
    </w:tbl>
    <w:p w:rsidR="00A23947" w:rsidRPr="008D5309" w:rsidRDefault="008D5309">
      <w:pPr>
        <w:rPr>
          <w:rFonts w:ascii="Times New Roman" w:hAnsi="Times New Roman" w:cs="Times New Roman"/>
        </w:rPr>
      </w:pPr>
      <w:proofErr w:type="gramStart"/>
      <w:r w:rsidRPr="008D5309">
        <w:rPr>
          <w:rFonts w:ascii="Times New Roman" w:eastAsia="Times New Roman" w:hAnsi="Times New Roman" w:cs="Times New Roman"/>
          <w:color w:val="000000"/>
          <w:sz w:val="21"/>
          <w:szCs w:val="21"/>
          <w:shd w:val="clear" w:color="auto" w:fill="FFFFFF"/>
          <w:lang w:eastAsia="ru-RU"/>
        </w:rPr>
        <w:t>[ 1</w:t>
      </w:r>
      <w:proofErr w:type="gramEnd"/>
      <w:r w:rsidRPr="008D5309">
        <w:rPr>
          <w:rFonts w:ascii="Times New Roman" w:eastAsia="Times New Roman" w:hAnsi="Times New Roman" w:cs="Times New Roman"/>
          <w:color w:val="000000"/>
          <w:sz w:val="21"/>
          <w:szCs w:val="21"/>
          <w:shd w:val="clear" w:color="auto" w:fill="FFFFFF"/>
          <w:lang w:eastAsia="ru-RU"/>
        </w:rPr>
        <w:t xml:space="preserve">] в случае технологического присоединения к электрическим сетям классом напряжения до 20 </w:t>
      </w:r>
      <w:proofErr w:type="spellStart"/>
      <w:r w:rsidRPr="008D5309">
        <w:rPr>
          <w:rFonts w:ascii="Times New Roman" w:eastAsia="Times New Roman" w:hAnsi="Times New Roman" w:cs="Times New Roman"/>
          <w:color w:val="000000"/>
          <w:sz w:val="21"/>
          <w:szCs w:val="21"/>
          <w:shd w:val="clear" w:color="auto" w:fill="FFFFFF"/>
          <w:lang w:eastAsia="ru-RU"/>
        </w:rPr>
        <w:t>кВ</w:t>
      </w:r>
      <w:proofErr w:type="spellEnd"/>
      <w:r w:rsidRPr="008D5309">
        <w:rPr>
          <w:rFonts w:ascii="Times New Roman" w:eastAsia="Times New Roman" w:hAnsi="Times New Roman" w:cs="Times New Roman"/>
          <w:color w:val="000000"/>
          <w:sz w:val="21"/>
          <w:szCs w:val="21"/>
          <w:shd w:val="clear" w:color="auto" w:fill="FFFFFF"/>
          <w:lang w:eastAsia="ru-RU"/>
        </w:rPr>
        <w:t xml:space="preserve">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sectPr w:rsidR="00A23947" w:rsidRPr="008D53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309"/>
    <w:rsid w:val="00077763"/>
    <w:rsid w:val="00552C74"/>
    <w:rsid w:val="008D5309"/>
    <w:rsid w:val="00A23947"/>
    <w:rsid w:val="00AD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C8B532-B09C-40E2-AF35-4FCEC0DC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53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1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2342</Words>
  <Characters>13356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MARKsianin</dc:creator>
  <cp:keywords/>
  <dc:description/>
  <cp:lastModifiedBy>MARKsianin</cp:lastModifiedBy>
  <cp:revision>1</cp:revision>
  <dcterms:created xsi:type="dcterms:W3CDTF">2019-07-25T11:38:00Z</dcterms:created>
  <dcterms:modified xsi:type="dcterms:W3CDTF">2019-07-25T11:40:00Z</dcterms:modified>
</cp:coreProperties>
</file>